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73"/>
        <w:gridCol w:w="1233"/>
        <w:gridCol w:w="2764"/>
        <w:gridCol w:w="2835"/>
        <w:gridCol w:w="1985"/>
        <w:gridCol w:w="1843"/>
        <w:gridCol w:w="1842"/>
      </w:tblGrid>
      <w:tr w:rsidR="00C3576C" w:rsidRPr="00BE4242">
        <w:trPr>
          <w:trHeight w:val="707"/>
        </w:trPr>
        <w:tc>
          <w:tcPr>
            <w:tcW w:w="1673" w:type="dxa"/>
          </w:tcPr>
          <w:p w:rsidR="00C3576C" w:rsidRPr="00BE4242" w:rsidRDefault="00C3576C" w:rsidP="00D06B49">
            <w:pPr>
              <w:jc w:val="center"/>
              <w:rPr>
                <w:rFonts w:ascii="Arial" w:hAnsi="Arial"/>
              </w:rPr>
            </w:pPr>
          </w:p>
          <w:p w:rsidR="00C3576C" w:rsidRPr="00BE4242" w:rsidRDefault="00C3576C" w:rsidP="00D06B49">
            <w:pPr>
              <w:jc w:val="center"/>
              <w:rPr>
                <w:rFonts w:ascii="Arial" w:hAnsi="Arial"/>
              </w:rPr>
            </w:pPr>
            <w:r w:rsidRPr="00BE4242">
              <w:rPr>
                <w:rFonts w:ascii="Arial" w:hAnsi="Arial"/>
              </w:rPr>
              <w:t>NOMBRE FINCA/TIPO DE CEREAL</w:t>
            </w:r>
          </w:p>
        </w:tc>
        <w:tc>
          <w:tcPr>
            <w:tcW w:w="1233" w:type="dxa"/>
          </w:tcPr>
          <w:p w:rsidR="00C3576C" w:rsidRPr="00BE4242" w:rsidRDefault="00C3576C" w:rsidP="00D06B49">
            <w:pPr>
              <w:jc w:val="center"/>
              <w:rPr>
                <w:rFonts w:ascii="Arial" w:hAnsi="Arial"/>
              </w:rPr>
            </w:pPr>
          </w:p>
          <w:p w:rsidR="00C3576C" w:rsidRPr="00BE4242" w:rsidRDefault="00C3576C" w:rsidP="00D06B49">
            <w:pPr>
              <w:jc w:val="center"/>
              <w:rPr>
                <w:rFonts w:ascii="Arial" w:hAnsi="Arial"/>
              </w:rPr>
            </w:pPr>
            <w:r w:rsidRPr="00BE4242">
              <w:rPr>
                <w:rFonts w:ascii="Arial" w:hAnsi="Arial"/>
              </w:rPr>
              <w:t>Nº NIDOS POR FINCA</w:t>
            </w:r>
          </w:p>
        </w:tc>
        <w:tc>
          <w:tcPr>
            <w:tcW w:w="2764" w:type="dxa"/>
          </w:tcPr>
          <w:p w:rsidR="00C3576C" w:rsidRPr="00BE4242" w:rsidRDefault="00C3576C" w:rsidP="00D06B49">
            <w:pPr>
              <w:jc w:val="center"/>
              <w:rPr>
                <w:rFonts w:ascii="Arial" w:hAnsi="Arial"/>
              </w:rPr>
            </w:pPr>
          </w:p>
          <w:p w:rsidR="00C3576C" w:rsidRPr="00BE4242" w:rsidRDefault="00C3576C" w:rsidP="00D06B49">
            <w:pPr>
              <w:jc w:val="center"/>
              <w:rPr>
                <w:rFonts w:ascii="Arial" w:hAnsi="Arial"/>
              </w:rPr>
            </w:pPr>
            <w:r w:rsidRPr="00BE4242">
              <w:rPr>
                <w:rFonts w:ascii="Arial" w:hAnsi="Arial"/>
              </w:rPr>
              <w:t>COORDENADAS GPS NIDOS</w:t>
            </w:r>
          </w:p>
        </w:tc>
        <w:tc>
          <w:tcPr>
            <w:tcW w:w="2835" w:type="dxa"/>
          </w:tcPr>
          <w:p w:rsidR="00C3576C" w:rsidRPr="00BE4242" w:rsidRDefault="00C3576C" w:rsidP="00D06B49">
            <w:pPr>
              <w:jc w:val="center"/>
              <w:rPr>
                <w:rFonts w:ascii="Arial" w:hAnsi="Arial"/>
              </w:rPr>
            </w:pPr>
          </w:p>
          <w:p w:rsidR="00C3576C" w:rsidRPr="00BE4242" w:rsidRDefault="00C3576C" w:rsidP="00D06B49">
            <w:pPr>
              <w:jc w:val="center"/>
              <w:rPr>
                <w:rFonts w:ascii="Arial" w:hAnsi="Arial"/>
              </w:rPr>
            </w:pPr>
            <w:r w:rsidRPr="00BE4242">
              <w:rPr>
                <w:rFonts w:ascii="Arial" w:hAnsi="Arial"/>
              </w:rPr>
              <w:t>TIPO DE INTERVENCION REALIZADA (RODAL, JAULA, TRASLADO AL CREA)</w:t>
            </w:r>
          </w:p>
        </w:tc>
        <w:tc>
          <w:tcPr>
            <w:tcW w:w="1985" w:type="dxa"/>
          </w:tcPr>
          <w:p w:rsidR="00C3576C" w:rsidRPr="00BE4242" w:rsidRDefault="00C3576C" w:rsidP="00D06B49">
            <w:pPr>
              <w:jc w:val="center"/>
              <w:rPr>
                <w:rFonts w:ascii="Arial" w:hAnsi="Arial"/>
              </w:rPr>
            </w:pPr>
          </w:p>
          <w:p w:rsidR="00C3576C" w:rsidRPr="00BE4242" w:rsidRDefault="00C3576C" w:rsidP="00D06B49">
            <w:pPr>
              <w:jc w:val="center"/>
              <w:rPr>
                <w:rFonts w:ascii="Arial" w:hAnsi="Arial"/>
              </w:rPr>
            </w:pPr>
            <w:r w:rsidRPr="00BE4242">
              <w:rPr>
                <w:rFonts w:ascii="Arial" w:hAnsi="Arial"/>
              </w:rPr>
              <w:t>Nº POLLOS QUE VUELAN</w:t>
            </w:r>
          </w:p>
        </w:tc>
        <w:tc>
          <w:tcPr>
            <w:tcW w:w="1843" w:type="dxa"/>
          </w:tcPr>
          <w:p w:rsidR="00C3576C" w:rsidRPr="00BE4242" w:rsidRDefault="00C3576C" w:rsidP="00D06B49">
            <w:pPr>
              <w:jc w:val="center"/>
              <w:rPr>
                <w:rFonts w:ascii="Arial" w:hAnsi="Arial"/>
              </w:rPr>
            </w:pPr>
          </w:p>
          <w:p w:rsidR="00C3576C" w:rsidRPr="00BE4242" w:rsidRDefault="00C3576C" w:rsidP="00C3576C">
            <w:pPr>
              <w:jc w:val="center"/>
              <w:rPr>
                <w:rFonts w:ascii="Arial" w:hAnsi="Arial"/>
              </w:rPr>
            </w:pPr>
            <w:r w:rsidRPr="00BE4242">
              <w:rPr>
                <w:rFonts w:ascii="Arial" w:hAnsi="Arial"/>
              </w:rPr>
              <w:t>Nº NIDOS DEPREDADOS</w:t>
            </w:r>
          </w:p>
        </w:tc>
        <w:tc>
          <w:tcPr>
            <w:tcW w:w="1842" w:type="dxa"/>
          </w:tcPr>
          <w:p w:rsidR="00C3576C" w:rsidRPr="00BE4242" w:rsidRDefault="00C3576C" w:rsidP="00D06B49">
            <w:pPr>
              <w:jc w:val="center"/>
              <w:rPr>
                <w:rFonts w:ascii="Arial" w:hAnsi="Arial"/>
              </w:rPr>
            </w:pPr>
          </w:p>
          <w:p w:rsidR="00C3576C" w:rsidRPr="00BE4242" w:rsidRDefault="00C3576C" w:rsidP="00D06B49">
            <w:pPr>
              <w:jc w:val="center"/>
              <w:rPr>
                <w:rFonts w:ascii="Arial" w:hAnsi="Arial"/>
              </w:rPr>
            </w:pPr>
            <w:r w:rsidRPr="00BE4242">
              <w:rPr>
                <w:rFonts w:ascii="Arial" w:hAnsi="Arial"/>
              </w:rPr>
              <w:t>Nº POLLOS QUE VUELAN</w:t>
            </w:r>
          </w:p>
        </w:tc>
      </w:tr>
      <w:tr w:rsidR="00C3576C" w:rsidRPr="00BE4242">
        <w:trPr>
          <w:trHeight w:val="165"/>
        </w:trPr>
        <w:tc>
          <w:tcPr>
            <w:tcW w:w="1673" w:type="dxa"/>
            <w:vMerge w:val="restart"/>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vMerge/>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vMerge/>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vMerge/>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vMerge/>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r w:rsidR="00C3576C" w:rsidRPr="00BE4242">
        <w:trPr>
          <w:trHeight w:val="162"/>
        </w:trPr>
        <w:tc>
          <w:tcPr>
            <w:tcW w:w="1673" w:type="dxa"/>
          </w:tcPr>
          <w:p w:rsidR="00C3576C" w:rsidRPr="00BE4242" w:rsidRDefault="00C3576C" w:rsidP="00D06B49">
            <w:pPr>
              <w:jc w:val="center"/>
              <w:rPr>
                <w:rFonts w:ascii="Arial" w:hAnsi="Arial"/>
              </w:rPr>
            </w:pPr>
          </w:p>
        </w:tc>
        <w:tc>
          <w:tcPr>
            <w:tcW w:w="1233" w:type="dxa"/>
          </w:tcPr>
          <w:p w:rsidR="00C3576C" w:rsidRPr="00BE4242" w:rsidRDefault="00C3576C" w:rsidP="00D06B49">
            <w:pPr>
              <w:jc w:val="center"/>
              <w:rPr>
                <w:rFonts w:ascii="Arial" w:hAnsi="Arial"/>
              </w:rPr>
            </w:pPr>
          </w:p>
        </w:tc>
        <w:tc>
          <w:tcPr>
            <w:tcW w:w="2764" w:type="dxa"/>
            <w:shd w:val="clear" w:color="auto" w:fill="auto"/>
          </w:tcPr>
          <w:p w:rsidR="00C3576C" w:rsidRPr="00BE4242" w:rsidRDefault="00C3576C" w:rsidP="00D06B49">
            <w:pPr>
              <w:jc w:val="center"/>
              <w:rPr>
                <w:rFonts w:ascii="Arial" w:hAnsi="Arial"/>
              </w:rPr>
            </w:pPr>
          </w:p>
        </w:tc>
        <w:tc>
          <w:tcPr>
            <w:tcW w:w="2835" w:type="dxa"/>
            <w:shd w:val="clear" w:color="auto" w:fill="auto"/>
          </w:tcPr>
          <w:p w:rsidR="00C3576C" w:rsidRPr="00BE4242" w:rsidRDefault="00C3576C" w:rsidP="00D06B49">
            <w:pPr>
              <w:jc w:val="center"/>
              <w:rPr>
                <w:rFonts w:ascii="Arial" w:hAnsi="Arial"/>
              </w:rPr>
            </w:pPr>
          </w:p>
        </w:tc>
        <w:tc>
          <w:tcPr>
            <w:tcW w:w="1985" w:type="dxa"/>
            <w:shd w:val="clear" w:color="auto" w:fill="auto"/>
          </w:tcPr>
          <w:p w:rsidR="00C3576C" w:rsidRPr="00BE4242" w:rsidRDefault="00C3576C" w:rsidP="00D06B49">
            <w:pPr>
              <w:jc w:val="center"/>
              <w:rPr>
                <w:rFonts w:ascii="Arial" w:hAnsi="Arial"/>
              </w:rPr>
            </w:pPr>
          </w:p>
        </w:tc>
        <w:tc>
          <w:tcPr>
            <w:tcW w:w="1843" w:type="dxa"/>
            <w:shd w:val="clear" w:color="auto" w:fill="auto"/>
          </w:tcPr>
          <w:p w:rsidR="00C3576C" w:rsidRPr="00BE4242" w:rsidRDefault="00C3576C" w:rsidP="00D06B49">
            <w:pPr>
              <w:jc w:val="center"/>
              <w:rPr>
                <w:rFonts w:ascii="Arial" w:hAnsi="Arial"/>
              </w:rPr>
            </w:pPr>
          </w:p>
        </w:tc>
        <w:tc>
          <w:tcPr>
            <w:tcW w:w="1842" w:type="dxa"/>
            <w:shd w:val="clear" w:color="auto" w:fill="auto"/>
          </w:tcPr>
          <w:p w:rsidR="00C3576C" w:rsidRPr="00BE4242" w:rsidRDefault="00C3576C" w:rsidP="00D06B49">
            <w:pPr>
              <w:jc w:val="center"/>
              <w:rPr>
                <w:rFonts w:ascii="Arial" w:hAnsi="Arial"/>
              </w:rPr>
            </w:pPr>
          </w:p>
        </w:tc>
      </w:tr>
    </w:tbl>
    <w:p w:rsidR="00BE4242" w:rsidRPr="00BE4242" w:rsidRDefault="00BE4242" w:rsidP="00D06B49">
      <w:pPr>
        <w:jc w:val="center"/>
        <w:rPr>
          <w:rFonts w:ascii="Arial" w:hAnsi="Arial"/>
        </w:rPr>
      </w:pPr>
    </w:p>
    <w:p w:rsidR="00BE4242" w:rsidRPr="00BE4242" w:rsidRDefault="00BE4242" w:rsidP="00BE4242">
      <w:pPr>
        <w:pStyle w:val="NormalWeb"/>
        <w:spacing w:before="2" w:after="2"/>
        <w:rPr>
          <w:rFonts w:ascii="Arial" w:hAnsi="Arial"/>
          <w:sz w:val="24"/>
        </w:rPr>
      </w:pPr>
      <w:r w:rsidRPr="00BE4242">
        <w:rPr>
          <w:rFonts w:ascii="Arial" w:hAnsi="Arial"/>
          <w:sz w:val="24"/>
        </w:rPr>
        <w:t>METODOLOGÍA CAMPAÑA VOLUNTARIADO AGUILUCHO CENIZO.</w:t>
      </w: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r w:rsidRPr="00BE4242">
        <w:rPr>
          <w:rFonts w:ascii="Arial" w:hAnsi="Arial"/>
          <w:sz w:val="24"/>
        </w:rPr>
        <w:t xml:space="preserve">La labor de voluntariado es imprescindible para conseguir alcanzar el objetivo mínimo de localizar la ubicación de los nidos de ave. Con la finalidad de facilitar la realización de estos trabajos ofreceremos las fichas y metodologías necesarias para ejecutar proyectos de la misma naturaleza. </w:t>
      </w: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r w:rsidRPr="00BE4242">
        <w:rPr>
          <w:rFonts w:ascii="Arial" w:hAnsi="Arial"/>
          <w:sz w:val="24"/>
        </w:rPr>
        <w:t>El aguilucho cenizo es una de las aves rapaces más bellas y más amenazadas de Europa. Está íntimamente ligada al ser humano debido a que, año tras año, a finales de Marzo y procedente de una larguísima migración desde el África subsahariana, regresa para instalar sus nidos en medio de las cosechas de cereales, y realiza una importante labor actuando como controlador natural de topillos, ratones, langostas y otros animales que pueden mermar las cosechas de cereal.</w:t>
      </w: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r w:rsidRPr="00BE4242">
        <w:rPr>
          <w:rFonts w:ascii="Arial" w:hAnsi="Arial"/>
          <w:sz w:val="24"/>
        </w:rPr>
        <w:t>Desde tiempos inmemoriales, las aves esteparias han estado ligadas a estos ecosistemas , adaptando sus migraciones transaharianas y sus ciclos reproductivos a las siembras y cosechas, ayudando a acabar con plagas a través de su papel como depredadores y engalanando con su presencia los vastos territorios que peinan en sus vuelos.</w:t>
      </w:r>
      <w:r w:rsidRPr="00BE4242">
        <w:rPr>
          <w:rFonts w:ascii="Arial" w:hAnsi="Arial"/>
          <w:sz w:val="24"/>
        </w:rPr>
        <w:br/>
      </w:r>
      <w:r w:rsidRPr="00BE4242">
        <w:rPr>
          <w:rFonts w:ascii="Arial" w:hAnsi="Arial"/>
          <w:sz w:val="24"/>
        </w:rPr>
        <w:br/>
        <w:t xml:space="preserve">Debido a las variedades de las semillas utilizadas en la actualidad, cada vez se adelanta más la cosecha de cereales, lo que implica que los aguiluchos cenizos y otras aves ligadas a estos cultivos, que anidan en el suelo, fallezcan de manera dramática entre las cuchillas de las máquinas cosechadoras. </w:t>
      </w: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r w:rsidRPr="00BE4242">
        <w:rPr>
          <w:rFonts w:ascii="Arial" w:hAnsi="Arial"/>
          <w:sz w:val="24"/>
        </w:rPr>
        <w:t>OBJETIVO PRINCIPAL de este proyecto: SALVAR LOS NIDOS DE AGUILUCHOS CENIZOS y otras aves esteparias en peligro de extinción a través de la compra directa a los agricultores de los cereales que crecen en las parcelas donde crían, evitando así el paso de las cosechadoras sobre las zonas de los nidos y salvando de las cuchillas a los pollos de estas emblemáticas especies.</w:t>
      </w: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r w:rsidRPr="00BE4242">
        <w:rPr>
          <w:rFonts w:ascii="Arial" w:hAnsi="Arial"/>
          <w:sz w:val="24"/>
        </w:rPr>
        <w:t xml:space="preserve">Obviamente quisiéramos salvar todas y cada una de las colonias de aguiluchos cenizos, especialmente en el territorio andaluz cuya situación es alarmante. Sin embargo la realidad obliga a establecer prioridades y éstas vienen marcadas por los tiempos de recogida de cosechapor lo que hay que marcar como objetivo la salvación de cuantos nidos de aguilucho cenizo podamos alcanzar con esta campaña, a través de la compra del cereal realizando rodales de cereal en los nidos localizados para evitar su recolección, y con ella, su dramático destino. </w:t>
      </w:r>
      <w:r w:rsidRPr="00BE4242">
        <w:rPr>
          <w:rFonts w:ascii="Arial" w:hAnsi="Arial"/>
          <w:sz w:val="24"/>
        </w:rPr>
        <w:br/>
      </w:r>
      <w:r w:rsidRPr="00BE4242">
        <w:rPr>
          <w:rFonts w:ascii="Arial" w:hAnsi="Arial"/>
          <w:sz w:val="24"/>
        </w:rPr>
        <w:br/>
        <w:t xml:space="preserve">Establecemos objetivo es intentar salvar el mayor número de colonias en peligro localizadas. La elección del método de los rodales se debe a que nos permitirá abarcar un mayor número de colonias, con menos inversión que la compra directa de la totalidad del cereal de determinadas fincas, tal y como hicimos el año pasado, y en términos estadísticos, con la experiencia de </w:t>
      </w:r>
      <w:r>
        <w:rPr>
          <w:rFonts w:ascii="Arial" w:hAnsi="Arial"/>
          <w:sz w:val="24"/>
        </w:rPr>
        <w:t>anteriores</w:t>
      </w:r>
      <w:r w:rsidRPr="00BE4242">
        <w:rPr>
          <w:rFonts w:ascii="Arial" w:hAnsi="Arial"/>
          <w:sz w:val="24"/>
        </w:rPr>
        <w:t xml:space="preserve"> campaña</w:t>
      </w:r>
      <w:r>
        <w:rPr>
          <w:rFonts w:ascii="Arial" w:hAnsi="Arial"/>
          <w:sz w:val="24"/>
        </w:rPr>
        <w:t>s, estas acciones</w:t>
      </w:r>
      <w:r w:rsidRPr="00BE4242">
        <w:rPr>
          <w:rFonts w:ascii="Arial" w:hAnsi="Arial"/>
          <w:sz w:val="24"/>
        </w:rPr>
        <w:t xml:space="preserve"> permitirá</w:t>
      </w:r>
      <w:r>
        <w:rPr>
          <w:rFonts w:ascii="Arial" w:hAnsi="Arial"/>
          <w:sz w:val="24"/>
        </w:rPr>
        <w:t>n</w:t>
      </w:r>
      <w:r w:rsidRPr="00BE4242">
        <w:rPr>
          <w:rFonts w:ascii="Arial" w:hAnsi="Arial"/>
          <w:sz w:val="24"/>
        </w:rPr>
        <w:t xml:space="preserve"> incrementar el número de pollos que alcen el vuelo con respecto al año anterior.</w:t>
      </w:r>
      <w:r w:rsidRPr="00BE4242">
        <w:rPr>
          <w:rFonts w:ascii="Arial" w:hAnsi="Arial"/>
          <w:sz w:val="24"/>
        </w:rPr>
        <w:br/>
      </w:r>
      <w:r w:rsidRPr="00BE4242">
        <w:rPr>
          <w:rFonts w:ascii="Arial" w:hAnsi="Arial"/>
          <w:sz w:val="24"/>
        </w:rPr>
        <w:br/>
        <w:t>Aun así, somos conscientes de que existe la posibilidad real de que los predadores localicen nidos , por eso tu ayuda es importantísima para conseguir alcanzar el mayor número de nidos con la recaudación de la campaña de crowdfunding y mejorar los números de la edición anterior y, en consecuencia, que haya más pollos de aguilucho cenizo que consigan alzar el vuelo.</w:t>
      </w:r>
    </w:p>
    <w:p w:rsidR="00BE4242" w:rsidRPr="00BE4242" w:rsidRDefault="00BE4242" w:rsidP="00BE4242">
      <w:pPr>
        <w:pStyle w:val="NormalWeb"/>
        <w:spacing w:before="2" w:after="2"/>
        <w:rPr>
          <w:rFonts w:ascii="Arial" w:hAnsi="Arial"/>
          <w:sz w:val="24"/>
        </w:rPr>
      </w:pPr>
    </w:p>
    <w:p w:rsidR="00BE4242" w:rsidRDefault="00BE4242" w:rsidP="00BE4242">
      <w:pPr>
        <w:spacing w:beforeLines="1" w:afterLines="1"/>
        <w:outlineLvl w:val="1"/>
        <w:rPr>
          <w:rFonts w:ascii="Arial" w:hAnsi="Arial"/>
          <w:b/>
          <w:szCs w:val="20"/>
          <w:lang w:eastAsia="es-ES_tradnl"/>
        </w:rPr>
      </w:pPr>
      <w:r w:rsidRPr="00BE4242">
        <w:rPr>
          <w:rFonts w:ascii="Arial" w:hAnsi="Arial"/>
          <w:b/>
          <w:szCs w:val="20"/>
          <w:lang w:eastAsia="es-ES_tradnl"/>
        </w:rPr>
        <w:t xml:space="preserve">Descripción del proyecto. Características, fortalezas y diferenciales. </w:t>
      </w:r>
    </w:p>
    <w:p w:rsidR="00BE4242" w:rsidRPr="00BE4242" w:rsidRDefault="00BE4242" w:rsidP="00BE4242">
      <w:pPr>
        <w:spacing w:beforeLines="1" w:afterLines="1"/>
        <w:outlineLvl w:val="1"/>
        <w:rPr>
          <w:rFonts w:ascii="Arial" w:hAnsi="Arial"/>
          <w:b/>
          <w:szCs w:val="20"/>
          <w:lang w:eastAsia="es-ES_tradnl"/>
        </w:rPr>
      </w:pPr>
    </w:p>
    <w:p w:rsidR="00BE4242" w:rsidRPr="00BE4242" w:rsidRDefault="00BE4242" w:rsidP="00BE4242">
      <w:pPr>
        <w:spacing w:after="0"/>
        <w:rPr>
          <w:rFonts w:ascii="Arial" w:hAnsi="Arial"/>
          <w:szCs w:val="20"/>
          <w:lang w:eastAsia="es-ES_tradnl"/>
        </w:rPr>
      </w:pPr>
      <w:r w:rsidRPr="00BE4242">
        <w:rPr>
          <w:rFonts w:ascii="Arial" w:hAnsi="Arial"/>
          <w:szCs w:val="20"/>
          <w:lang w:eastAsia="es-ES_tradnl"/>
        </w:rPr>
        <w:t xml:space="preserve">La primera parte del proyecto consiste en la detección de las colonias de aguilucho cenizo y otras </w:t>
      </w:r>
      <w:r>
        <w:rPr>
          <w:rFonts w:ascii="Arial" w:hAnsi="Arial"/>
          <w:szCs w:val="20"/>
          <w:lang w:eastAsia="es-ES_tradnl"/>
        </w:rPr>
        <w:t>aves esteparias existentes en los campos de cultivo</w:t>
      </w:r>
      <w:r w:rsidRPr="00BE4242">
        <w:rPr>
          <w:rFonts w:ascii="Arial" w:hAnsi="Arial"/>
          <w:szCs w:val="20"/>
          <w:lang w:eastAsia="es-ES_tradnl"/>
        </w:rPr>
        <w:t>,</w:t>
      </w:r>
      <w:r>
        <w:rPr>
          <w:rFonts w:ascii="Arial" w:hAnsi="Arial"/>
          <w:szCs w:val="20"/>
          <w:lang w:eastAsia="es-ES_tradnl"/>
        </w:rPr>
        <w:t xml:space="preserve"> por parte de los voluntarios</w:t>
      </w:r>
      <w:r w:rsidRPr="00BE4242">
        <w:rPr>
          <w:rFonts w:ascii="Arial" w:hAnsi="Arial"/>
          <w:szCs w:val="20"/>
          <w:lang w:eastAsia="es-ES_tradnl"/>
        </w:rPr>
        <w:t>, así como su seguimiento con objeto de tenerlas localizadas en caso de ser necesaria una actuación.</w:t>
      </w:r>
      <w:r w:rsidRPr="00BE4242">
        <w:rPr>
          <w:rFonts w:ascii="Arial" w:hAnsi="Arial"/>
          <w:szCs w:val="20"/>
          <w:lang w:eastAsia="es-ES_tradnl"/>
        </w:rPr>
        <w:br/>
      </w:r>
      <w:r w:rsidRPr="00BE4242">
        <w:rPr>
          <w:rFonts w:ascii="Arial" w:hAnsi="Arial"/>
          <w:szCs w:val="20"/>
          <w:lang w:eastAsia="es-ES_tradnl"/>
        </w:rPr>
        <w:br/>
        <w:t xml:space="preserve">En vista de los resultados de </w:t>
      </w:r>
      <w:r>
        <w:rPr>
          <w:rFonts w:ascii="Arial" w:hAnsi="Arial"/>
          <w:szCs w:val="20"/>
          <w:lang w:eastAsia="es-ES_tradnl"/>
        </w:rPr>
        <w:t>anteriores</w:t>
      </w:r>
      <w:r w:rsidRPr="00BE4242">
        <w:rPr>
          <w:rFonts w:ascii="Arial" w:hAnsi="Arial"/>
          <w:szCs w:val="20"/>
          <w:lang w:eastAsia="es-ES_tradnl"/>
        </w:rPr>
        <w:t xml:space="preserve"> campaña</w:t>
      </w:r>
      <w:r>
        <w:rPr>
          <w:rFonts w:ascii="Arial" w:hAnsi="Arial"/>
          <w:szCs w:val="20"/>
          <w:lang w:eastAsia="es-ES_tradnl"/>
        </w:rPr>
        <w:t>s de aguilucho cenizo,</w:t>
      </w:r>
      <w:r w:rsidRPr="00BE4242">
        <w:rPr>
          <w:rFonts w:ascii="Arial" w:hAnsi="Arial"/>
          <w:szCs w:val="20"/>
          <w:lang w:eastAsia="es-ES_tradnl"/>
        </w:rPr>
        <w:t xml:space="preserve"> </w:t>
      </w:r>
      <w:r>
        <w:rPr>
          <w:rFonts w:ascii="Arial" w:hAnsi="Arial"/>
          <w:szCs w:val="20"/>
          <w:lang w:eastAsia="es-ES_tradnl"/>
        </w:rPr>
        <w:t>se toma</w:t>
      </w:r>
      <w:r w:rsidRPr="00BE4242">
        <w:rPr>
          <w:rFonts w:ascii="Arial" w:hAnsi="Arial"/>
          <w:szCs w:val="20"/>
          <w:lang w:eastAsia="es-ES_tradnl"/>
        </w:rPr>
        <w:t xml:space="preserve"> la decisión de lanzar esta campaña de micromecenazgo para intentar comprar el máximo número posible de rodales de cereal, preservando los nidos del paso de las cosechadoras.</w:t>
      </w:r>
      <w:r w:rsidRPr="00BE4242">
        <w:rPr>
          <w:rFonts w:ascii="Arial" w:hAnsi="Arial"/>
          <w:szCs w:val="20"/>
          <w:lang w:eastAsia="es-ES_tradnl"/>
        </w:rPr>
        <w:br/>
      </w:r>
      <w:r w:rsidRPr="00BE4242">
        <w:rPr>
          <w:rFonts w:ascii="Arial" w:hAnsi="Arial"/>
          <w:szCs w:val="20"/>
          <w:lang w:eastAsia="es-ES_tradnl"/>
        </w:rPr>
        <w:br/>
        <w:t>El Aguilucho Cenizo está protegido por la legislación europea, clasificado según el Libro Rojo de los Vertebrados en España como Vulnerable a la Extinción, por la destrucción de su hábitat natural, y es responsabilidad de la Junta de Andalucía protegerlo para evitar que la especia desaparezca definitivamente de nuestros campos. La Junta de Andalucía activó un Programa Regional del Aguilucho Cenizo, con el que se localizaban los nidos y se marcaban para evitar que las cosechadoras afectasen directamente a las nidadas. Sin embargo, este Programa lleva parado desde 2011, y los aguiluchos han sido abandonados a su fatal suerte o traslocados sus nidos como sucedió el año pasado.</w:t>
      </w:r>
      <w:r w:rsidRPr="00BE4242">
        <w:rPr>
          <w:rFonts w:ascii="Arial" w:hAnsi="Arial"/>
          <w:szCs w:val="20"/>
          <w:lang w:eastAsia="es-ES_tradnl"/>
        </w:rPr>
        <w:br/>
      </w:r>
      <w:r w:rsidRPr="00BE4242">
        <w:rPr>
          <w:rFonts w:ascii="Arial" w:hAnsi="Arial"/>
          <w:szCs w:val="20"/>
          <w:lang w:eastAsia="es-ES_tradnl"/>
        </w:rPr>
        <w:br/>
        <w:t xml:space="preserve">Ante la situación actual de las pocas colonias de cría que aún quedan en el territorio, y a sabiendas de que la cosecha de cereal está muy próxima y nadie hace nada por remediar la nefasta suerte que le espera a los nidos, hemos lanzado esta campaña para salvar al menos aquellas que creemos que podemos llegar a tiempo. </w:t>
      </w:r>
    </w:p>
    <w:p w:rsidR="00BE4242" w:rsidRDefault="00BE4242" w:rsidP="00BE4242">
      <w:pPr>
        <w:spacing w:beforeLines="1" w:afterLines="1"/>
        <w:outlineLvl w:val="1"/>
        <w:rPr>
          <w:rFonts w:ascii="Arial" w:hAnsi="Arial"/>
          <w:b/>
          <w:szCs w:val="20"/>
          <w:lang w:eastAsia="es-ES_tradnl"/>
        </w:rPr>
      </w:pPr>
      <w:r w:rsidRPr="00BE4242">
        <w:rPr>
          <w:rFonts w:ascii="Arial" w:hAnsi="Arial"/>
          <w:b/>
          <w:szCs w:val="20"/>
          <w:lang w:eastAsia="es-ES_tradnl"/>
        </w:rPr>
        <w:t xml:space="preserve">Motivación y a quién va dirigido el proyecto </w:t>
      </w:r>
    </w:p>
    <w:p w:rsidR="00BE4242" w:rsidRPr="00BE4242" w:rsidRDefault="00BE4242" w:rsidP="00BE4242">
      <w:pPr>
        <w:spacing w:beforeLines="1" w:afterLines="1"/>
        <w:outlineLvl w:val="1"/>
        <w:rPr>
          <w:rFonts w:ascii="Arial" w:hAnsi="Arial"/>
          <w:b/>
          <w:szCs w:val="20"/>
          <w:lang w:eastAsia="es-ES_tradnl"/>
        </w:rPr>
      </w:pPr>
    </w:p>
    <w:p w:rsidR="00BE4242" w:rsidRPr="00BE4242" w:rsidRDefault="00BE4242" w:rsidP="00BE4242">
      <w:pPr>
        <w:spacing w:after="0"/>
        <w:rPr>
          <w:rFonts w:ascii="Arial" w:hAnsi="Arial"/>
          <w:szCs w:val="20"/>
          <w:lang w:eastAsia="es-ES_tradnl"/>
        </w:rPr>
      </w:pPr>
      <w:r w:rsidRPr="00BE4242">
        <w:rPr>
          <w:rFonts w:ascii="Arial" w:hAnsi="Arial"/>
          <w:szCs w:val="20"/>
          <w:lang w:eastAsia="es-ES_tradnl"/>
        </w:rPr>
        <w:t xml:space="preserve">El proyecto está dirigido a la conservación del aguilucho </w:t>
      </w:r>
      <w:r>
        <w:rPr>
          <w:rFonts w:ascii="Arial" w:hAnsi="Arial"/>
          <w:szCs w:val="20"/>
          <w:lang w:eastAsia="es-ES_tradnl"/>
        </w:rPr>
        <w:t>cenizo</w:t>
      </w:r>
      <w:r w:rsidRPr="00BE4242">
        <w:rPr>
          <w:rFonts w:ascii="Arial" w:hAnsi="Arial"/>
          <w:szCs w:val="20"/>
          <w:lang w:eastAsia="es-ES_tradnl"/>
        </w:rPr>
        <w:t xml:space="preserve">, así como a otras aves esteparias, y esperamos que los usuarios sensibilizados con la conservación de la biodiversidad en general colaboren con nosotros para lograr nuestros objetivos. </w:t>
      </w:r>
    </w:p>
    <w:p w:rsidR="00BE4242" w:rsidRDefault="00BE4242" w:rsidP="00BE4242">
      <w:pPr>
        <w:spacing w:beforeLines="1" w:afterLines="1"/>
        <w:outlineLvl w:val="1"/>
        <w:rPr>
          <w:rFonts w:ascii="Arial" w:hAnsi="Arial"/>
          <w:b/>
          <w:szCs w:val="20"/>
          <w:lang w:eastAsia="es-ES_tradnl"/>
        </w:rPr>
      </w:pPr>
    </w:p>
    <w:p w:rsidR="00BE4242" w:rsidRDefault="00BE4242" w:rsidP="00BE4242">
      <w:pPr>
        <w:spacing w:beforeLines="1" w:afterLines="1"/>
        <w:outlineLvl w:val="1"/>
        <w:rPr>
          <w:rFonts w:ascii="Arial" w:hAnsi="Arial"/>
          <w:b/>
          <w:szCs w:val="20"/>
          <w:lang w:eastAsia="es-ES_tradnl"/>
        </w:rPr>
      </w:pPr>
      <w:r w:rsidRPr="00BE4242">
        <w:rPr>
          <w:rFonts w:ascii="Arial" w:hAnsi="Arial"/>
          <w:b/>
          <w:szCs w:val="20"/>
          <w:lang w:eastAsia="es-ES_tradnl"/>
        </w:rPr>
        <w:t xml:space="preserve">Objetivos de la campaña de crowdfunding </w:t>
      </w:r>
    </w:p>
    <w:p w:rsidR="00BE4242" w:rsidRPr="00BE4242" w:rsidRDefault="00BE4242" w:rsidP="00BE4242">
      <w:pPr>
        <w:spacing w:beforeLines="1" w:afterLines="1"/>
        <w:outlineLvl w:val="1"/>
        <w:rPr>
          <w:rFonts w:ascii="Arial" w:hAnsi="Arial"/>
          <w:b/>
          <w:szCs w:val="20"/>
          <w:lang w:eastAsia="es-ES_tradnl"/>
        </w:rPr>
      </w:pPr>
    </w:p>
    <w:p w:rsidR="00BE4242" w:rsidRPr="00BE4242" w:rsidRDefault="00BE4242" w:rsidP="00BE4242">
      <w:pPr>
        <w:spacing w:after="0"/>
        <w:rPr>
          <w:rFonts w:ascii="Arial" w:hAnsi="Arial"/>
          <w:szCs w:val="20"/>
          <w:lang w:eastAsia="es-ES_tradnl"/>
        </w:rPr>
      </w:pPr>
      <w:r w:rsidRPr="00BE4242">
        <w:rPr>
          <w:rFonts w:ascii="Arial" w:hAnsi="Arial"/>
          <w:szCs w:val="20"/>
          <w:lang w:eastAsia="es-ES_tradnl"/>
        </w:rPr>
        <w:t>El proyecto pretende salvar las colonias de crí</w:t>
      </w:r>
      <w:r>
        <w:rPr>
          <w:rFonts w:ascii="Arial" w:hAnsi="Arial"/>
          <w:szCs w:val="20"/>
          <w:lang w:eastAsia="es-ES_tradnl"/>
        </w:rPr>
        <w:t xml:space="preserve">a localizadas </w:t>
      </w:r>
      <w:r w:rsidRPr="00BE4242">
        <w:rPr>
          <w:rFonts w:ascii="Arial" w:hAnsi="Arial"/>
          <w:szCs w:val="20"/>
          <w:lang w:eastAsia="es-ES_tradnl"/>
        </w:rPr>
        <w:t xml:space="preserve">de aguilucho cenizo y otras aves esteparias, en riesgo de desaparición por la ausencia de un plan efectivo de conservación a escala regional que contemple dar soluciones efectivas a la conservación de especies amenazadas o en peligro de extinción. </w:t>
      </w:r>
      <w:r w:rsidRPr="00BE4242">
        <w:rPr>
          <w:rFonts w:ascii="Arial" w:hAnsi="Arial"/>
          <w:szCs w:val="20"/>
          <w:lang w:eastAsia="es-ES_tradnl"/>
        </w:rPr>
        <w:br/>
      </w:r>
      <w:r w:rsidRPr="00BE4242">
        <w:rPr>
          <w:rFonts w:ascii="Arial" w:hAnsi="Arial"/>
          <w:szCs w:val="20"/>
          <w:lang w:eastAsia="es-ES_tradnl"/>
        </w:rPr>
        <w:br/>
        <w:t xml:space="preserve">Para ello se realizarán seguimientos de todas las colonias de aguilucho cenizo presentes en la </w:t>
      </w:r>
      <w:r>
        <w:rPr>
          <w:rFonts w:ascii="Arial" w:hAnsi="Arial"/>
          <w:szCs w:val="20"/>
          <w:lang w:eastAsia="es-ES_tradnl"/>
        </w:rPr>
        <w:t>zona elegida</w:t>
      </w:r>
      <w:r w:rsidRPr="00BE4242">
        <w:rPr>
          <w:rFonts w:ascii="Arial" w:hAnsi="Arial"/>
          <w:szCs w:val="20"/>
          <w:lang w:eastAsia="es-ES_tradnl"/>
        </w:rPr>
        <w:t xml:space="preserve"> y se realizará la compra directa de rodales a los agricultores con el dinero recaudado. Se estima el tamaño aproximado de cada rodal en 30x20 m (600 m2)</w:t>
      </w: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p>
    <w:p w:rsidR="00BE4242" w:rsidRPr="00BE4242" w:rsidRDefault="00BE4242" w:rsidP="00BE4242">
      <w:pPr>
        <w:pStyle w:val="NormalWeb"/>
        <w:spacing w:before="2" w:after="2"/>
        <w:rPr>
          <w:rFonts w:ascii="Arial" w:hAnsi="Arial"/>
          <w:sz w:val="24"/>
        </w:rPr>
      </w:pPr>
    </w:p>
    <w:p w:rsidR="00D859AE" w:rsidRPr="00BE4242" w:rsidRDefault="00D859AE" w:rsidP="00D06B49">
      <w:pPr>
        <w:jc w:val="center"/>
        <w:rPr>
          <w:rFonts w:ascii="Arial" w:hAnsi="Arial"/>
        </w:rPr>
      </w:pPr>
    </w:p>
    <w:sectPr w:rsidR="00D859AE" w:rsidRPr="00BE4242" w:rsidSect="00C3576C">
      <w:pgSz w:w="16840" w:h="11901" w:orient="landscape"/>
      <w:pgMar w:top="1701" w:right="1418" w:bottom="1701" w:left="1418"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859AE"/>
    <w:rsid w:val="00874013"/>
    <w:rsid w:val="00BE4242"/>
    <w:rsid w:val="00C3576C"/>
    <w:rsid w:val="00D06B49"/>
    <w:rsid w:val="00D859AE"/>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35"/>
  </w:style>
  <w:style w:type="paragraph" w:styleId="Ttulo2">
    <w:name w:val="heading 2"/>
    <w:basedOn w:val="Normal"/>
    <w:link w:val="Ttulo2Car"/>
    <w:uiPriority w:val="9"/>
    <w:rsid w:val="00BE4242"/>
    <w:pPr>
      <w:spacing w:beforeLines="1" w:afterLines="1"/>
      <w:outlineLvl w:val="1"/>
    </w:pPr>
    <w:rPr>
      <w:rFonts w:ascii="Times" w:hAnsi="Times"/>
      <w:b/>
      <w:sz w:val="36"/>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BE4242"/>
    <w:pPr>
      <w:spacing w:beforeLines="1" w:afterLines="1"/>
    </w:pPr>
    <w:rPr>
      <w:rFonts w:ascii="Times" w:hAnsi="Times" w:cs="Times New Roman"/>
      <w:sz w:val="20"/>
      <w:szCs w:val="20"/>
      <w:lang w:eastAsia="es-ES_tradnl"/>
    </w:rPr>
  </w:style>
  <w:style w:type="character" w:styleId="Hipervnculo">
    <w:name w:val="Hyperlink"/>
    <w:basedOn w:val="Fuentedeprrafopredeter"/>
    <w:uiPriority w:val="99"/>
    <w:rsid w:val="00BE4242"/>
    <w:rPr>
      <w:color w:val="0000FF"/>
      <w:u w:val="single"/>
    </w:rPr>
  </w:style>
  <w:style w:type="character" w:customStyle="1" w:styleId="Ttulo2Car">
    <w:name w:val="Título 2 Car"/>
    <w:basedOn w:val="Fuentedeprrafopredeter"/>
    <w:link w:val="Ttulo2"/>
    <w:uiPriority w:val="9"/>
    <w:rsid w:val="00BE4242"/>
    <w:rPr>
      <w:rFonts w:ascii="Times" w:hAnsi="Times"/>
      <w:b/>
      <w:sz w:val="36"/>
      <w:szCs w:val="20"/>
      <w:lang w:eastAsia="es-ES_tradnl"/>
    </w:rPr>
  </w:style>
  <w:style w:type="character" w:customStyle="1" w:styleId="anchor-mark">
    <w:name w:val="anchor-mark"/>
    <w:basedOn w:val="Fuentedeprrafopredeter"/>
    <w:rsid w:val="00BE4242"/>
  </w:style>
</w:styles>
</file>

<file path=word/webSettings.xml><?xml version="1.0" encoding="utf-8"?>
<w:webSettings xmlns:r="http://schemas.openxmlformats.org/officeDocument/2006/relationships" xmlns:w="http://schemas.openxmlformats.org/wordprocessingml/2006/main">
  <w:divs>
    <w:div w:id="721632488">
      <w:bodyDiv w:val="1"/>
      <w:marLeft w:val="0"/>
      <w:marRight w:val="0"/>
      <w:marTop w:val="0"/>
      <w:marBottom w:val="0"/>
      <w:divBdr>
        <w:top w:val="none" w:sz="0" w:space="0" w:color="auto"/>
        <w:left w:val="none" w:sz="0" w:space="0" w:color="auto"/>
        <w:bottom w:val="none" w:sz="0" w:space="0" w:color="auto"/>
        <w:right w:val="none" w:sz="0" w:space="0" w:color="auto"/>
      </w:divBdr>
      <w:divsChild>
        <w:div w:id="1304844977">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936600257">
          <w:marLeft w:val="0"/>
          <w:marRight w:val="0"/>
          <w:marTop w:val="0"/>
          <w:marBottom w:val="0"/>
          <w:divBdr>
            <w:top w:val="none" w:sz="0" w:space="0" w:color="auto"/>
            <w:left w:val="none" w:sz="0" w:space="0" w:color="auto"/>
            <w:bottom w:val="none" w:sz="0" w:space="0" w:color="auto"/>
            <w:right w:val="none" w:sz="0" w:space="0" w:color="auto"/>
          </w:divBdr>
        </w:div>
      </w:divsChild>
    </w:div>
    <w:div w:id="1790125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880</Words>
  <Characters>5020</Characters>
  <Application>Microsoft Word 12.0.0</Application>
  <DocSecurity>0</DocSecurity>
  <Lines>41</Lines>
  <Paragraphs>10</Paragraphs>
  <ScaleCrop>false</ScaleCrop>
  <Company>-</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Diego</cp:lastModifiedBy>
  <cp:revision>2</cp:revision>
  <dcterms:created xsi:type="dcterms:W3CDTF">2017-03-25T17:33:00Z</dcterms:created>
  <dcterms:modified xsi:type="dcterms:W3CDTF">2017-03-25T19:06:00Z</dcterms:modified>
</cp:coreProperties>
</file>